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355</w:t>
      </w:r>
    </w:p>
    <w:p>
      <w:r>
        <w:t>Bundesgericht (BGE), 1970-02-10, FR</w:t>
      </w:r>
    </w:p>
    <w:p>
      <w:r>
        <w:rPr>
          <w:b/>
        </w:rPr>
        <w:t xml:space="preserve">Quelle: </w:t>
      </w:r>
      <w:r>
        <w:t>https://mcp.opencaselaw.ch/entscheid/bge_96 II 355</w:t>
      </w:r>
    </w:p>
    <w:p>
      <w:r>
        <w:t>FR: ATF 96 II 355</w:t>
      </w:r>
    </w:p>
    <w:p>
      <w:r>
        <w:t>IT: DTF 96 II 355</w:t>
      </w:r>
    </w:p>
    <w:p>
      <w:pPr>
        <w:pStyle w:val="Heading2"/>
      </w:pPr>
      <w:r>
        <w:t>Regeste</w:t>
      </w:r>
    </w:p>
    <w:p>
      <w:r>
        <w:t>Regeste Art. 1 EHG. Art. 55, 58 und 44 OR. Art. 100 KUVG. 1. Haftung der Eisenbahnunternehmung bei Verschulden eines Dritten oder des Verunfallten (Erw. I). 2. Haftung einer Bauunternehmung als Eigentümerin eines fehlerhaften Werkes (Baugerüst) (Art. 58 OR) und Haftung des Geschäftsherrn (Art. 55 OR); Mitverschulden des Verunfallten (Art. 44 OR) (Erw. II). 3. Nach Art. 100 KUVG tritt die Schweizerische Unfallversicherungsanstalt in die Rechte des Versicherten oder seiner Hinterbliebenen nur ein, wenn und soweit ihre Leistungen und der vom Dritthaftenden zu deckende Teil den Betrag des eingetretenen Schadens übersteigen (Anderung der Rechtsprechung) (Erw. III).</w:t>
      </w:r>
    </w:p>
    <w:p>
      <w:pPr>
        <w:pStyle w:val="Heading2"/>
      </w:pPr>
      <w:r>
        <w:t>Erwägungen</w:t>
      </w:r>
    </w:p>
    <w:p>
      <w:r>
        <w:rPr>
          <w:b/>
        </w:rPr>
        <w:t>E. 1</w:t>
      </w:r>
    </w:p>
    <w:p>
      <w:r>
        <w:t>La cour cantonale a admis que Via SA répondait causalement du dommage, de par l'art. 58 CO, en tant que propriétaire d'un ouvrage défectueux. Effectivement, l'échafaudage était un ouvrage dont Via SA était propriétaire. En général, il respectait le gabarit imposé par les CFF et n'était pas défectueux, mais il l'était dans la mesure où le tube, qui en était un élément et sur lequel est venue buter la portière, pénétrait effectivement dans ce gabarit et a été une cause nécessaire du dommage. Quoi qu'en dise la recourante, l'arrêt attaqué n'est entaché d'aucune contradiction sur ces faits. BGE 96 II 355 S. 360</w:t>
      </w:r>
    </w:p>
    <w:p>
      <w:r>
        <w:rPr>
          <w:b/>
        </w:rPr>
        <w:t>E. 2</w:t>
      </w:r>
    </w:p>
    <w:p>
      <w:r>
        <w:t>Via SA répond aussi de par l'art. 55 CO, en sa qualité d'employeur. Ce sont ses ouvriers qui ont monté l'échafaudage et mal placé ou mal fixé le tube qui a provoqué l'accident; elle n'a pas apporté la preuve libératoire qu'autorise la disposition précitée; au contraire, il est constant qu'elle n'a procédé à aucun contrôle pour s'assurer que l'échafaudage était conforme aux prescriptions de sécurité.</w:t>
      </w:r>
    </w:p>
    <w:p>
      <w:r>
        <w:rPr>
          <w:b/>
        </w:rPr>
        <w:t>E. 3</w:t>
      </w:r>
    </w:p>
    <w:p>
      <w:r>
        <w:t>Cependant, pour que l'application par analogie d'une règle qui vise un cas différent soit possible, il faut que les deux cas puissent s'identifier l'un à l'autre dans la perspective de ladite règle de droit; pour en juger, on comparera les éléments de fait constitutifs des deux hypothèses, puis on constatera et pèsera les intérêts, les exigences sociales, morales, celles de la sécurité juridique et de l'esprit de la loi que l'assimilation met en jeu (MEIER-HAYOZ, Comm. ad art. 1er CC. nos 319 ss. et 346 ss) a) Les éléments de fait, dans l'hypothèse que concernel'art. 88 LCR, correspondent, pour l'essentiel, à ceux de la présente espèce; ils y correspondent tout au moins lorsque, comme dans l'affaire qui a donné lieu à l'arrêt Caisse nationale c. Winterthur-accidents (RO 93 II 407) et dans la présente cause, le subrogeant est un assuré de la Caisse nationale, ce qui entraîne l'application de l'art. 100 LAMA. b) Dans l'un et l'autre cas, un assuré de la Caisse nationale a été victime d'un accident; le dommage subi par le lésé n'a pas été entièrement couvert par les prestations de ladite caisse, ni par celles que doit le tiers responsable ou son assureur. Il n'y a qu'une seule différence entre les deux cas; il s'agissait d'un dommage causé par l'emploi d'un véhicule automobile dans le premier et par l'exploitation d'une ligne de chemin de fer dans le second. Mais on ne voit pas que, s'agissant surtout de deux responsabilités causales, cette différence doive se répercuter sur la subrogation de la Caisse nationale dans les droits du lésé. c) De même, les intérêts en présence sont identiques. Dans l'un et l'autre cas, le lésé a le même intérêt à être couvert complètement du préjudice subi, nonobstant toute faute concurrente, en retour des primes qui, dans la mesure où elles ont été payées par l'employeur, faisaient partie du salaire de la victime (RO 93 II 421). La Caisse nationale également, qui doit pouvoir s'en prendre au tiers responsable ou à son assureur sans les formalités d'une cession conventionnelle, et enfin le tiers responsable, qui doit être garanti du risque d'un double paiement et d'une BGE 96 II 355 S. 364 réclamation excédant la mesure de sa responsabilité, ont des intérêts qui ne varient pas d'un cas à l'autre. d) Du point de vue moral, il n'y a pas non plus de différence entre la réparation du dommage causé par l'emploi d'un véhicule automobile et celui qui survient dans l'exploitation d'une ligne de chemin de fer. Pas plus dans la réparation du second de ces dommages que dans celle du premier, il n'apparaît exorbitant ni contraire à un principe fondamental du droit que, même en cas de faute propre de l'assuré ou de ses ayants droit, le lésé puisse, dans certains cas tout au moins et par le cumul des prestations de la Caisse et de celles du tiers responsable ou de son assureur, obtenir réparation intégrale du dommage effectif. L'argumentation que le Tribunal fédéral a développée, sur ce point, dans son arrêt Caisse nationale c. Winterthur-accidents, du 11 octobre 1967 (RO 93 II 407, v. consid. 4, p. 419, spécialement lettre c, p. 422), conserve toute sa valeur s'agissant d'un accident de chemin de fer. La loi du 13 juin 1911 tendait à remplacer le régime de réparation fondé sur la responsabilité civile par un nouveau régime de réparation fondé sur l'assurance (Message du Conseil fédéral, FF 1906, t. VI, p. 214 ss.). L'assurance privée y a déjà largement pourvu, mais c'est surtout l'assurance sociale qui doit suppléer les insuffisances éventuelles de la réparation due par le tiers responsable. En cas de faute propre de l'assuré, il apparaîtrait aujourd'hui choquant que la Caisse nationale puisse se faire rembourser, fût-ce une partie de ses prestations, par le tiers responsable ou son assureur, alors que l'assuré ou surtout - en cas de décès - ses ayants droit ne toucheraient même pas intégralement, dans le dernier état de la jurisprudence relative à l'art. 100 LAMA, l'indemnité réduite à laquelle ils auraient droit en vertu du droit civil. e) Du point de vue social, dans l'esprit de la législation sur les assurances sociales, le cas visé par le législateur à l'art. 88 LCR est identique à celui que règle l'art. 100 LAMA lorsqu'il s'agit d'un assuré de la Caisse nationale, victime d'un accident quelconque. Le cumul des prestations se justifie dans les deux hypothèses également. Au surplus, comme on l'a montré dans l'arrêt Caisse nationale c. Winterthur-accidents (RO 93 II 422, lettre d), le principe posé par l'art. 88 LCR n'est pas étranger à l'assurance sociale BGE 96 II 355 S. 365 comme telle; le cumul des prestations de l'assurance sociale avec celles d'autres assureurs est admis en matière d'indemnité de chômage jusqu'à concurrence du total du gain dont l'assuré est privé (art. 74 al. 3 LAMA) et la subrogation de l'assurance sociale dans les droits du lésé est inconnue en principe dans l'assurance survivants et l'assurance invalidité (art. 52 LAI). Elle l'est du reste aussi dans l'assurance privée de personnes (art. 96 LCA), tandis que dans l'assurance privée de dommages, elle n'intervient que dans la mesure où l'indemnité touchée par l'ayant droit couvre la totalité du dommage effectif (art. 72 LCA; ROELLI-JAEGER, Comm. ad art. 72 LCA, n. 38; OFTINGER, Schweizerisches Haftpflichtrecht, 2e éd., t. I, p. 350 s.).</w:t>
      </w:r>
    </w:p>
    <w:p>
      <w:r>
        <w:rPr>
          <w:b/>
        </w:rPr>
        <w:t>E. 4</w:t>
      </w:r>
    </w:p>
    <w:p>
      <w:r>
        <w:t>Le parallèle établi entre les cas visés par l'art. 88 LCR et la présente espèce dans la mesure où elle relève de l'art. 100 LAMA est donc favorable à l'application par analogie de la première de ces dispositions. Cette application se justifie d'autant plus qu'elle est conforme aux exigences de la sécurité juridique. Comme le Tribunal fédéral l'a montré dans son arrêt Caisse nationale c. Winterthur-accidents (RO 93 II 415 s.), le législateur, par l'introduction de l'art. 88 LCR, a entendu tenir en échec la jurisprudence touchant l'art. 100 LAMA. Il l'a fait dans le domaine spécial de la responsabilité civile pour les dommages causés par l'emploi d'un véhicule à moteur. Mais ses intentions dépassaient le domaine particulier qui faisait alors l'objet de ses délibérations; il avait aussi en vue les autres cas où la Caisse nationale est subrogée aux droits de son assuré ou de ses ayants droit contre le tiers responsable ou son assureur. Il a comblé dans un domaine particulier la lacune de l'art. 100 LAMA. La sécurité juridique exige que cette lacune soit comblée de la même façon dans tous les autres cas où cette disposition s'applique. Les auteurs qui se sont prononcés sur ce point l'ont fait unanimement dans le même sens (OFTINGER, Schweizerisches Haftpflichtrecht, 2e éd., t. II 2, p. 840; STARK, RDS 1967, p. 92; OSWALD, RDS 1967, p. 787; MAURER, Schweizerische Zeitschrift fùr Sozialversicherung, 1968, p. 201 lettre a). Aussi bien, consciente des inconvénients que présenterait l'adoption de solutions différentes touchant la subrogation de la Caisse nationale dans les droits de l'assuré ou de ses ayants droit selon qu'il s'agirait d'accidents causés par l'emploi de véhicules à moteur (art. 88 LCR) ou d'autres accidents, la BGE 96 II 355 S. 366 Caisse nationale a-t-elle, aux dires de MAURER (op. cit., p. 201), conclu, le 1er octobre 1968, avec les assureurs privés, une convention qui prévoit l'application par analogie de l'art. 88 LCR, tel que l'a interprété l'arrêt Caisse nationale c. Winterthur-accidents (RO 93 II 407), à tous les cas où elle a fourni des prestations et bénéficie de la subrogation de par l'art. 100 LAMA. Point n'est besoin de rechercher, en l'espèce, si le principe posé par l'art. 88 LCR devrait également s'appliquer par analogie au-delà du domaine que régit l'art. 100 LAMA.</w:t>
      </w:r>
    </w:p>
    <w:p>
      <w:r>
        <w:rPr>
          <w:b/>
        </w:rPr>
        <w:t>E. 5</w:t>
      </w:r>
    </w:p>
    <w:p>
      <w:r>
        <w:t>Le résultat auquel parvient ainsi la cour entraîne la modification de la jurisprudence instituée par l'arrêt Berra c. Cirlini (RO 85 II 256). Cette jurisprudence avait été créée d'accord avec la IIe Cour civile. C'est pourquoi son abandon a été préalablement proposé à cette cour, qui y a consenti (art. 16 OJ). IV. Calcul du dommage et des indemnités 1. La cour cantonale a calculé tout d'abord le manque à gagner de Genillard du jour de l'accident (28 novembre 1963) jusqu'au 1er janvier 1969; elle a fixé ce dommage à 30 565 fr., compte tenu de ce qu'a versé l'employeur; de même, elle a constaté que, pour la même période, la Caisse nationale a versé 26 075 fr. Ce sont donc 4490 fr. qui restent à percevoir pour que le dommage effectif soit entièrement couvert. Via SA est tenue en principe de supporter 60% du dommage, soit 18 339 fr. Elle devra donc payer entièrement la somme de 4490 fr. à Genillard, la Caisse nationale étant subrogée aux droits de celui-ci pour le surplus selon le principe que l'on vient de poser. L'intérêt moratoire à 5% l'an court dès le 1er mai 1966 (date moyenne). Les CFF sont obligés solidairement de la même manière, mais seulement jusqu'à concurrence de 15% du dommage. Genillard obtient donc en principe gain de cause sur ce point. 2. a) Sur le manque à gagner à partir du 1er janvier 1969, la cour cantonale a admis un taux d'invalidité moyen de 50%. Les parties ne contestent pas ce chiffre, pas plus que le chiffre moyen de 2135 fr., admis comme gain mensuel futur. L'arrêt entrepris a capitalisé ce gain en appliquant le coefficient 1702 de la table I (table d'activité) de STAUFFER et SCHAETZLE (2e éd.). Ce coefficient s'applique à la capitalisation dans le cas d'un homme de 40 ans. Son application, en l'espèce, donne un capital de 218 026 fr. BGE 96 II 355 S. 367 Via SA objecte à ce calcul que, le 1er janvier 1969, Genillard, né le 4 février 1928, était alors âgé, non de 40 ans, mais de 40 ans et presque onze mois, soit, en réalité, de 41 ans. Cette critique est justifiée; dans son arrêt Küenzi et consorts, du 6 mars 1951 (RO 77 II 152), le Tribunal fédéral a jugé que, pour le calcul de la capitalisation, l'âge qui détermine le coefficient donné par les tables est celui qui correspond au plus proche anniversaire de la naissance. En l'espèce, du reste, comme le fait justement observer Via SA, si l'on adoptait le coefficient fixé pour un homme, non pas de 41, mais de 40 ans, Genillard serait indemnisé deux fois pour les onze mois écoulés depuis le quarantième anniversaire de sa naissance: une fois pour le dommage temporaire et une seconde fois sous forme de rente capitalisée. On fondera donc le calcul sur le coefficient 1666, donné par la table no 1 de STAUFFER et SCHAETZLE (2e éd.). Ce calcul donne, pour une perte de gain de 2135 fr. par mois, un capital de 426 829 fr. 20 ou, pour une invalidité permanente de 50%, 213 415 fr. Via SA doit prendre à sa charge 60% de cette somme, soit 128 049 fr., dont les CFF répondent solidairement jusqu'à concurrence du quart (15% de 60%). b) La même correction s'impose pour la capitalisation des prestations de la Caisse nationale. On en fera du reste une seconde, pour le même calcul, en utilisant la table d'activité et non pas celle de mortalité, conformément au principe qu'a posé la cour de céans dans son arrêt Lloyd's Underwriters c. Chaboudez, du 11 mars 1969 (RO 95 II 582). Pour une rente de 350 fr. par mois ou 4200 fr. par an et un coefficient de 1666, le calcul donne un capital de 69 972 fr. et non de 78 834 fr., comme l'avait admis la cour cantonale. c) Le dommage effectif subi par Genillard se monte à 213 415 fr. Selon le principe que l'on a posé plus haut (application par analogie de l'art. 88 LCR dans le cas visé par l'art. 100 LAMA), il a droit, par préférence à la Caisse nationale, aux paiements cumulés de celle-ci et du tiers responsable ou de l'assureur de celui-ci jusqu'à concurrence du dommage effectif. Or le total des prestations dues par la Caisse nationale et par Via SA, soit 198 021 fr. (128 049 fr. + 69 972 fr.), n'atteint pas le montant de ce dommage. Il n'y a donc lieu à aucune réduction de par l'art. 100 LAMA. BGE 96 II 355 S. 368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